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D9B5" w14:textId="77777777" w:rsidR="00880479" w:rsidRDefault="00621499">
      <w:pPr>
        <w:pStyle w:val="Naslov1"/>
      </w:pPr>
      <w:r>
        <w:t>IZVJEŠTAJ O IZVRŠENJU FINANCIJSKOG PLANA</w:t>
      </w:r>
    </w:p>
    <w:p w14:paraId="6896FB19" w14:textId="77777777" w:rsidR="00880479" w:rsidRDefault="00621499">
      <w:r>
        <w:t>Industrijsko obrtnička škola Nova Gradiška</w:t>
      </w:r>
    </w:p>
    <w:p w14:paraId="032BE226" w14:textId="77777777" w:rsidR="00880479" w:rsidRDefault="00621499">
      <w:r>
        <w:t>Razdoblje: 01.01.–30.06.2025.</w:t>
      </w:r>
    </w:p>
    <w:p w14:paraId="458F8D24" w14:textId="77777777" w:rsidR="00880479" w:rsidRDefault="00621499">
      <w:pPr>
        <w:pStyle w:val="Naslov2"/>
      </w:pPr>
      <w:r>
        <w:t>1. PRIHODI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80479" w14:paraId="738CF913" w14:textId="77777777">
        <w:trPr>
          <w:jc w:val="center"/>
        </w:trPr>
        <w:tc>
          <w:tcPr>
            <w:tcW w:w="1728" w:type="dxa"/>
          </w:tcPr>
          <w:p w14:paraId="2F2686E8" w14:textId="77777777" w:rsidR="00880479" w:rsidRDefault="00621499">
            <w:r>
              <w:t>Kategorija</w:t>
            </w:r>
          </w:p>
        </w:tc>
        <w:tc>
          <w:tcPr>
            <w:tcW w:w="1728" w:type="dxa"/>
          </w:tcPr>
          <w:p w14:paraId="7412412E" w14:textId="77777777" w:rsidR="00880479" w:rsidRDefault="00621499">
            <w:r>
              <w:t>Izvršenje 2024.</w:t>
            </w:r>
          </w:p>
        </w:tc>
        <w:tc>
          <w:tcPr>
            <w:tcW w:w="1728" w:type="dxa"/>
          </w:tcPr>
          <w:p w14:paraId="7B5B65D0" w14:textId="77777777" w:rsidR="00880479" w:rsidRDefault="00621499">
            <w:r>
              <w:t>Plan 2025.</w:t>
            </w:r>
          </w:p>
        </w:tc>
        <w:tc>
          <w:tcPr>
            <w:tcW w:w="1728" w:type="dxa"/>
          </w:tcPr>
          <w:p w14:paraId="7C5DD02C" w14:textId="77777777" w:rsidR="00880479" w:rsidRDefault="00621499">
            <w:r>
              <w:t>Izvršenje 2025.</w:t>
            </w:r>
          </w:p>
        </w:tc>
        <w:tc>
          <w:tcPr>
            <w:tcW w:w="1728" w:type="dxa"/>
          </w:tcPr>
          <w:p w14:paraId="360832AD" w14:textId="77777777" w:rsidR="00880479" w:rsidRDefault="00621499">
            <w:r>
              <w:t>Ostvarenje u % (3/2)</w:t>
            </w:r>
          </w:p>
        </w:tc>
      </w:tr>
      <w:tr w:rsidR="00880479" w14:paraId="685C45E7" w14:textId="77777777">
        <w:trPr>
          <w:jc w:val="center"/>
        </w:trPr>
        <w:tc>
          <w:tcPr>
            <w:tcW w:w="1728" w:type="dxa"/>
          </w:tcPr>
          <w:p w14:paraId="023C5321" w14:textId="77777777" w:rsidR="00880479" w:rsidRDefault="00621499">
            <w:r>
              <w:t>Prihodi ukupno</w:t>
            </w:r>
          </w:p>
        </w:tc>
        <w:tc>
          <w:tcPr>
            <w:tcW w:w="1728" w:type="dxa"/>
          </w:tcPr>
          <w:p w14:paraId="5F4DCAF7" w14:textId="77777777" w:rsidR="00880479" w:rsidRDefault="00621499">
            <w:r>
              <w:t>825.536,48 €</w:t>
            </w:r>
          </w:p>
        </w:tc>
        <w:tc>
          <w:tcPr>
            <w:tcW w:w="1728" w:type="dxa"/>
          </w:tcPr>
          <w:p w14:paraId="4670457E" w14:textId="77777777" w:rsidR="00880479" w:rsidRDefault="00621499">
            <w:r>
              <w:t>1.473.443,66 €</w:t>
            </w:r>
          </w:p>
        </w:tc>
        <w:tc>
          <w:tcPr>
            <w:tcW w:w="1728" w:type="dxa"/>
          </w:tcPr>
          <w:p w14:paraId="5C26C27F" w14:textId="77777777" w:rsidR="00880479" w:rsidRDefault="00621499">
            <w:r>
              <w:t>825.536,48 €</w:t>
            </w:r>
          </w:p>
        </w:tc>
        <w:tc>
          <w:tcPr>
            <w:tcW w:w="1728" w:type="dxa"/>
          </w:tcPr>
          <w:p w14:paraId="5600662A" w14:textId="77777777" w:rsidR="00880479" w:rsidRDefault="00621499">
            <w:r>
              <w:t>56,03 %</w:t>
            </w:r>
          </w:p>
        </w:tc>
      </w:tr>
      <w:tr w:rsidR="00880479" w14:paraId="6BB37C32" w14:textId="77777777">
        <w:trPr>
          <w:jc w:val="center"/>
        </w:trPr>
        <w:tc>
          <w:tcPr>
            <w:tcW w:w="1728" w:type="dxa"/>
          </w:tcPr>
          <w:p w14:paraId="36F2974B" w14:textId="77777777" w:rsidR="00880479" w:rsidRDefault="00621499">
            <w:r>
              <w:t>Prihodi poslovanja</w:t>
            </w:r>
          </w:p>
        </w:tc>
        <w:tc>
          <w:tcPr>
            <w:tcW w:w="1728" w:type="dxa"/>
          </w:tcPr>
          <w:p w14:paraId="13A2F310" w14:textId="77777777" w:rsidR="00880479" w:rsidRDefault="00621499">
            <w:r>
              <w:t>825.536,48 €</w:t>
            </w:r>
          </w:p>
        </w:tc>
        <w:tc>
          <w:tcPr>
            <w:tcW w:w="1728" w:type="dxa"/>
          </w:tcPr>
          <w:p w14:paraId="6D5365FB" w14:textId="77777777" w:rsidR="00880479" w:rsidRDefault="00621499">
            <w:r>
              <w:t>1.463.794,18 €</w:t>
            </w:r>
          </w:p>
        </w:tc>
        <w:tc>
          <w:tcPr>
            <w:tcW w:w="1728" w:type="dxa"/>
          </w:tcPr>
          <w:p w14:paraId="337C3EBA" w14:textId="77777777" w:rsidR="00880479" w:rsidRDefault="00621499">
            <w:r>
              <w:t>825.536,48 €</w:t>
            </w:r>
          </w:p>
        </w:tc>
        <w:tc>
          <w:tcPr>
            <w:tcW w:w="1728" w:type="dxa"/>
          </w:tcPr>
          <w:p w14:paraId="407F38D1" w14:textId="77777777" w:rsidR="00880479" w:rsidRDefault="00621499">
            <w:r>
              <w:t>56,40 %</w:t>
            </w:r>
          </w:p>
        </w:tc>
      </w:tr>
      <w:tr w:rsidR="00880479" w14:paraId="27AF2E28" w14:textId="77777777">
        <w:trPr>
          <w:jc w:val="center"/>
        </w:trPr>
        <w:tc>
          <w:tcPr>
            <w:tcW w:w="1728" w:type="dxa"/>
          </w:tcPr>
          <w:p w14:paraId="5FB074EF" w14:textId="77777777" w:rsidR="00880479" w:rsidRDefault="00621499">
            <w:r>
              <w:t>Prihodi od prodaje imovine</w:t>
            </w:r>
          </w:p>
        </w:tc>
        <w:tc>
          <w:tcPr>
            <w:tcW w:w="1728" w:type="dxa"/>
          </w:tcPr>
          <w:p w14:paraId="0F82EEE3" w14:textId="77777777" w:rsidR="00880479" w:rsidRDefault="00621499">
            <w:r>
              <w:t>0,00 €</w:t>
            </w:r>
          </w:p>
        </w:tc>
        <w:tc>
          <w:tcPr>
            <w:tcW w:w="1728" w:type="dxa"/>
          </w:tcPr>
          <w:p w14:paraId="2D1329D2" w14:textId="77777777" w:rsidR="00880479" w:rsidRDefault="00621499">
            <w:r>
              <w:t>9.649,48 €</w:t>
            </w:r>
          </w:p>
        </w:tc>
        <w:tc>
          <w:tcPr>
            <w:tcW w:w="1728" w:type="dxa"/>
          </w:tcPr>
          <w:p w14:paraId="53382F56" w14:textId="77777777" w:rsidR="00880479" w:rsidRDefault="00621499">
            <w:r>
              <w:t>0,00 €</w:t>
            </w:r>
          </w:p>
        </w:tc>
        <w:tc>
          <w:tcPr>
            <w:tcW w:w="1728" w:type="dxa"/>
          </w:tcPr>
          <w:p w14:paraId="2D7CCC1D" w14:textId="77777777" w:rsidR="00880479" w:rsidRDefault="00621499">
            <w:r>
              <w:t>0,00 %</w:t>
            </w:r>
          </w:p>
        </w:tc>
      </w:tr>
    </w:tbl>
    <w:p w14:paraId="068A8229" w14:textId="77777777" w:rsidR="00880479" w:rsidRDefault="00621499">
      <w:pPr>
        <w:pStyle w:val="Naslov2"/>
      </w:pPr>
      <w:r>
        <w:t>2. RASHODI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80479" w14:paraId="302CC659" w14:textId="77777777">
        <w:trPr>
          <w:jc w:val="center"/>
        </w:trPr>
        <w:tc>
          <w:tcPr>
            <w:tcW w:w="1728" w:type="dxa"/>
          </w:tcPr>
          <w:p w14:paraId="0AB01944" w14:textId="77777777" w:rsidR="00880479" w:rsidRDefault="00621499">
            <w:r>
              <w:t>Kategorija</w:t>
            </w:r>
          </w:p>
        </w:tc>
        <w:tc>
          <w:tcPr>
            <w:tcW w:w="1728" w:type="dxa"/>
          </w:tcPr>
          <w:p w14:paraId="20C60C4A" w14:textId="77777777" w:rsidR="00880479" w:rsidRDefault="00621499">
            <w:r>
              <w:t>Izvršenje 2024.</w:t>
            </w:r>
          </w:p>
        </w:tc>
        <w:tc>
          <w:tcPr>
            <w:tcW w:w="1728" w:type="dxa"/>
          </w:tcPr>
          <w:p w14:paraId="68D22A67" w14:textId="77777777" w:rsidR="00880479" w:rsidRDefault="00621499">
            <w:r>
              <w:t>Plan 2025.</w:t>
            </w:r>
          </w:p>
        </w:tc>
        <w:tc>
          <w:tcPr>
            <w:tcW w:w="1728" w:type="dxa"/>
          </w:tcPr>
          <w:p w14:paraId="61B1A21C" w14:textId="77777777" w:rsidR="00880479" w:rsidRDefault="00621499">
            <w:r>
              <w:t>Izvršenje 2025.</w:t>
            </w:r>
          </w:p>
        </w:tc>
        <w:tc>
          <w:tcPr>
            <w:tcW w:w="1728" w:type="dxa"/>
          </w:tcPr>
          <w:p w14:paraId="76A4ED33" w14:textId="77777777" w:rsidR="00880479" w:rsidRDefault="00621499">
            <w:r>
              <w:t>Ostvarenje u % (3/2)</w:t>
            </w:r>
          </w:p>
        </w:tc>
      </w:tr>
      <w:tr w:rsidR="00880479" w14:paraId="19E5C0FA" w14:textId="77777777">
        <w:trPr>
          <w:jc w:val="center"/>
        </w:trPr>
        <w:tc>
          <w:tcPr>
            <w:tcW w:w="1728" w:type="dxa"/>
          </w:tcPr>
          <w:p w14:paraId="40C211E2" w14:textId="77777777" w:rsidR="00880479" w:rsidRDefault="00621499">
            <w:r>
              <w:t xml:space="preserve">Rashodi </w:t>
            </w:r>
            <w:r>
              <w:t>ukupno</w:t>
            </w:r>
          </w:p>
        </w:tc>
        <w:tc>
          <w:tcPr>
            <w:tcW w:w="1728" w:type="dxa"/>
          </w:tcPr>
          <w:p w14:paraId="7034E4DD" w14:textId="77777777" w:rsidR="00880479" w:rsidRDefault="00621499">
            <w:r>
              <w:t>813.374,22 €</w:t>
            </w:r>
          </w:p>
        </w:tc>
        <w:tc>
          <w:tcPr>
            <w:tcW w:w="1728" w:type="dxa"/>
          </w:tcPr>
          <w:p w14:paraId="383CE35A" w14:textId="77777777" w:rsidR="00880479" w:rsidRDefault="00621499">
            <w:r>
              <w:t>1.431.439,87 €</w:t>
            </w:r>
          </w:p>
        </w:tc>
        <w:tc>
          <w:tcPr>
            <w:tcW w:w="1728" w:type="dxa"/>
          </w:tcPr>
          <w:p w14:paraId="12EAD149" w14:textId="77777777" w:rsidR="00880479" w:rsidRDefault="00621499">
            <w:r>
              <w:t>1.016.884,17 €</w:t>
            </w:r>
          </w:p>
        </w:tc>
        <w:tc>
          <w:tcPr>
            <w:tcW w:w="1728" w:type="dxa"/>
          </w:tcPr>
          <w:p w14:paraId="556B8BF9" w14:textId="77777777" w:rsidR="00880479" w:rsidRDefault="00621499">
            <w:r>
              <w:t>71,04 %</w:t>
            </w:r>
          </w:p>
        </w:tc>
      </w:tr>
      <w:tr w:rsidR="00880479" w14:paraId="3EEA6159" w14:textId="77777777">
        <w:trPr>
          <w:jc w:val="center"/>
        </w:trPr>
        <w:tc>
          <w:tcPr>
            <w:tcW w:w="1728" w:type="dxa"/>
          </w:tcPr>
          <w:p w14:paraId="1E28F16B" w14:textId="77777777" w:rsidR="00880479" w:rsidRDefault="00621499">
            <w:r>
              <w:t>Rashodi poslovanja</w:t>
            </w:r>
          </w:p>
        </w:tc>
        <w:tc>
          <w:tcPr>
            <w:tcW w:w="1728" w:type="dxa"/>
          </w:tcPr>
          <w:p w14:paraId="23C24AFF" w14:textId="77777777" w:rsidR="00880479" w:rsidRDefault="00621499">
            <w:r>
              <w:t>810.174,44 €</w:t>
            </w:r>
          </w:p>
        </w:tc>
        <w:tc>
          <w:tcPr>
            <w:tcW w:w="1728" w:type="dxa"/>
          </w:tcPr>
          <w:p w14:paraId="6FC3EA28" w14:textId="77777777" w:rsidR="00880479" w:rsidRDefault="00621499">
            <w:r>
              <w:t>1.415.290,30 €</w:t>
            </w:r>
          </w:p>
        </w:tc>
        <w:tc>
          <w:tcPr>
            <w:tcW w:w="1728" w:type="dxa"/>
          </w:tcPr>
          <w:p w14:paraId="49FAF259" w14:textId="77777777" w:rsidR="00880479" w:rsidRDefault="00621499">
            <w:r>
              <w:t>1.013.684,39 €</w:t>
            </w:r>
          </w:p>
        </w:tc>
        <w:tc>
          <w:tcPr>
            <w:tcW w:w="1728" w:type="dxa"/>
          </w:tcPr>
          <w:p w14:paraId="3B3016E0" w14:textId="77777777" w:rsidR="00880479" w:rsidRDefault="00621499">
            <w:r>
              <w:t>71,62 %</w:t>
            </w:r>
          </w:p>
        </w:tc>
      </w:tr>
      <w:tr w:rsidR="00880479" w14:paraId="48442E66" w14:textId="77777777">
        <w:trPr>
          <w:jc w:val="center"/>
        </w:trPr>
        <w:tc>
          <w:tcPr>
            <w:tcW w:w="1728" w:type="dxa"/>
          </w:tcPr>
          <w:p w14:paraId="40A5623B" w14:textId="77777777" w:rsidR="00880479" w:rsidRDefault="00621499">
            <w:r>
              <w:t>Rashodi za nabavu imovine</w:t>
            </w:r>
          </w:p>
        </w:tc>
        <w:tc>
          <w:tcPr>
            <w:tcW w:w="1728" w:type="dxa"/>
          </w:tcPr>
          <w:p w14:paraId="23B6558A" w14:textId="77777777" w:rsidR="00880479" w:rsidRDefault="00621499">
            <w:r>
              <w:t>3.199,78 €</w:t>
            </w:r>
          </w:p>
        </w:tc>
        <w:tc>
          <w:tcPr>
            <w:tcW w:w="1728" w:type="dxa"/>
          </w:tcPr>
          <w:p w14:paraId="24FC5C63" w14:textId="77777777" w:rsidR="00880479" w:rsidRDefault="00621499">
            <w:r>
              <w:t>16.149,57 €</w:t>
            </w:r>
          </w:p>
        </w:tc>
        <w:tc>
          <w:tcPr>
            <w:tcW w:w="1728" w:type="dxa"/>
          </w:tcPr>
          <w:p w14:paraId="0070FFDC" w14:textId="77777777" w:rsidR="00880479" w:rsidRDefault="00621499">
            <w:r>
              <w:t>3.199,78 €</w:t>
            </w:r>
          </w:p>
        </w:tc>
        <w:tc>
          <w:tcPr>
            <w:tcW w:w="1728" w:type="dxa"/>
          </w:tcPr>
          <w:p w14:paraId="0A144FC0" w14:textId="77777777" w:rsidR="00880479" w:rsidRDefault="00621499">
            <w:r>
              <w:t>19,81 %</w:t>
            </w:r>
          </w:p>
        </w:tc>
      </w:tr>
    </w:tbl>
    <w:p w14:paraId="7AB4E67D" w14:textId="77777777" w:rsidR="00880479" w:rsidRDefault="00621499">
      <w:pPr>
        <w:pStyle w:val="Naslov2"/>
      </w:pPr>
      <w:r>
        <w:t>3. SALDO / RAZLIKA</w:t>
      </w:r>
    </w:p>
    <w:p w14:paraId="08FB536F" w14:textId="77777777" w:rsidR="00880479" w:rsidRDefault="00621499">
      <w:r>
        <w:t xml:space="preserve">Višak / Manjak 2025.: </w:t>
      </w:r>
      <w:r>
        <w:t>-191.347,69 €</w:t>
      </w:r>
    </w:p>
    <w:p w14:paraId="2CBC6CEB" w14:textId="77777777" w:rsidR="00880479" w:rsidRDefault="00621499">
      <w:r>
        <w:t>Usporedba s 2024.: 12.162,26 €</w:t>
      </w:r>
    </w:p>
    <w:p w14:paraId="53AB3190" w14:textId="77777777" w:rsidR="00880479" w:rsidRDefault="00621499">
      <w:r>
        <w:t>Planirani višak u 2025.: 42.003,79 €</w:t>
      </w:r>
    </w:p>
    <w:p w14:paraId="69993202" w14:textId="77777777" w:rsidR="00880479" w:rsidRDefault="00621499">
      <w:pPr>
        <w:pStyle w:val="Naslov2"/>
      </w:pPr>
      <w:r>
        <w:t>Obrazloženje izvršenja</w:t>
      </w:r>
    </w:p>
    <w:p w14:paraId="3520689E" w14:textId="77777777" w:rsidR="00880479" w:rsidRDefault="00621499">
      <w:r>
        <w:t xml:space="preserve">Izvršenje financijskog plana za prvo polugodište 2025. godine pokazuje djelomično ostvarenje planiranih prihoda i rashoda. Ukupno je ostvareno samo </w:t>
      </w:r>
      <w:r>
        <w:t xml:space="preserve">56 % planiranih prihoda, što može biti posljedica sezonskih uplata, npr. državnih transfera koji se ostvaruju u drugoj polovici godine. Također je moguće da određeni prihodi ovise o realizaciji </w:t>
      </w:r>
      <w:r>
        <w:lastRenderedPageBreak/>
        <w:t>aktivnosti koje još nisu pokrenute.</w:t>
      </w:r>
      <w:r>
        <w:br/>
      </w:r>
      <w:r>
        <w:br/>
        <w:t>Rashodi su ostvareni s vi</w:t>
      </w:r>
      <w:r>
        <w:t>šim intenzitetom – 71 % godišnjeg plana. Ovo ukazuje na aktivno izvršavanje obveza i projekata u prvoj polovici godine. Posebno se ističu rashodi poslovanja koji su gotovo proporcionalno rasli u odnosu na plan, dok su kapitalna ulaganja (nabava nefinancijs</w:t>
      </w:r>
      <w:r>
        <w:t>ke imovine) ostvarena sa samo 19,81 %, što sugerira odgodu većih nabava ili tehničke prepreke u realizaciji.</w:t>
      </w:r>
      <w:r>
        <w:br/>
      </w:r>
      <w:r>
        <w:br/>
        <w:t>Najveće odstupanje bilježi se kod salda – planirani višak od 42.003,79 € nije ostvaren, već je ostvaren manjak od 191.347,69 €, što znači da su ra</w:t>
      </w:r>
      <w:r>
        <w:t>shodi premašili prihode. Ovo zahtijeva pažnju u nastavku godine, posebno u pogledu planiranja preostalih prihoda i kontrole troškova kako bi se do kraja godine osigurala proračunska stabilnost.</w:t>
      </w:r>
    </w:p>
    <w:p w14:paraId="375A52D6" w14:textId="77777777" w:rsidR="00880479" w:rsidRDefault="00621499">
      <w:pPr>
        <w:jc w:val="center"/>
      </w:pPr>
      <w:r>
        <w:rPr>
          <w:noProof/>
        </w:rPr>
        <w:drawing>
          <wp:inline distT="0" distB="0" distL="0" distR="0" wp14:anchorId="56AB1E89" wp14:editId="7DBF44C2">
            <wp:extent cx="5400000" cy="32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_prihodi_rashod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A2A0" w14:textId="77777777" w:rsidR="00880479" w:rsidRDefault="00621499">
      <w:pPr>
        <w:pStyle w:val="Naslov2"/>
      </w:pPr>
      <w:r>
        <w:t>4. PRIKAZ PO PROGRAMIMA</w:t>
      </w:r>
    </w:p>
    <w:p w14:paraId="74F3A784" w14:textId="77777777" w:rsidR="00880479" w:rsidRDefault="00621499">
      <w:pPr>
        <w:pStyle w:val="Naslov3"/>
      </w:pPr>
      <w:r>
        <w:t>Rashodi po programima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80479" w14:paraId="393CECB8" w14:textId="77777777">
        <w:tc>
          <w:tcPr>
            <w:tcW w:w="2160" w:type="dxa"/>
          </w:tcPr>
          <w:p w14:paraId="426E7986" w14:textId="77777777" w:rsidR="00880479" w:rsidRDefault="00621499">
            <w:r>
              <w:t>Program / Akti</w:t>
            </w:r>
            <w:r>
              <w:t>vnost</w:t>
            </w:r>
          </w:p>
        </w:tc>
        <w:tc>
          <w:tcPr>
            <w:tcW w:w="2160" w:type="dxa"/>
          </w:tcPr>
          <w:p w14:paraId="2338EC36" w14:textId="77777777" w:rsidR="00880479" w:rsidRDefault="00621499">
            <w:r>
              <w:t>Plan 2025.</w:t>
            </w:r>
          </w:p>
        </w:tc>
        <w:tc>
          <w:tcPr>
            <w:tcW w:w="2160" w:type="dxa"/>
          </w:tcPr>
          <w:p w14:paraId="59CAA7FC" w14:textId="77777777" w:rsidR="00880479" w:rsidRDefault="00621499">
            <w:r>
              <w:t>Izvršenje 2025.</w:t>
            </w:r>
          </w:p>
        </w:tc>
        <w:tc>
          <w:tcPr>
            <w:tcW w:w="2160" w:type="dxa"/>
          </w:tcPr>
          <w:p w14:paraId="4E9B5C9E" w14:textId="77777777" w:rsidR="00880479" w:rsidRDefault="00621499">
            <w:r>
              <w:t>Ostvarenje (%)</w:t>
            </w:r>
          </w:p>
        </w:tc>
      </w:tr>
      <w:tr w:rsidR="00880479" w14:paraId="2FAEE745" w14:textId="77777777">
        <w:tc>
          <w:tcPr>
            <w:tcW w:w="2160" w:type="dxa"/>
          </w:tcPr>
          <w:p w14:paraId="71522815" w14:textId="77777777" w:rsidR="00880479" w:rsidRDefault="00621499">
            <w:r>
              <w:t>A600004 – Srednje školstvo – redovno poslovanje</w:t>
            </w:r>
          </w:p>
        </w:tc>
        <w:tc>
          <w:tcPr>
            <w:tcW w:w="2160" w:type="dxa"/>
          </w:tcPr>
          <w:p w14:paraId="77D89447" w14:textId="77777777" w:rsidR="00880479" w:rsidRDefault="00621499">
            <w:r>
              <w:t>136,040.90 €</w:t>
            </w:r>
          </w:p>
        </w:tc>
        <w:tc>
          <w:tcPr>
            <w:tcW w:w="2160" w:type="dxa"/>
          </w:tcPr>
          <w:p w14:paraId="4ABD624D" w14:textId="77777777" w:rsidR="00880479" w:rsidRDefault="00621499">
            <w:r>
              <w:t>78,329.16 €</w:t>
            </w:r>
          </w:p>
        </w:tc>
        <w:tc>
          <w:tcPr>
            <w:tcW w:w="2160" w:type="dxa"/>
          </w:tcPr>
          <w:p w14:paraId="5E70FD36" w14:textId="77777777" w:rsidR="00880479" w:rsidRDefault="00621499">
            <w:r>
              <w:t>57.58 %</w:t>
            </w:r>
          </w:p>
        </w:tc>
      </w:tr>
      <w:tr w:rsidR="00880479" w14:paraId="777ED052" w14:textId="77777777">
        <w:tc>
          <w:tcPr>
            <w:tcW w:w="2160" w:type="dxa"/>
          </w:tcPr>
          <w:p w14:paraId="63EB160F" w14:textId="77777777" w:rsidR="00880479" w:rsidRDefault="00621499">
            <w:r>
              <w:t>Ukupno rashodi</w:t>
            </w:r>
          </w:p>
        </w:tc>
        <w:tc>
          <w:tcPr>
            <w:tcW w:w="2160" w:type="dxa"/>
          </w:tcPr>
          <w:p w14:paraId="4CBA2F0A" w14:textId="77777777" w:rsidR="00880479" w:rsidRDefault="00621499">
            <w:r>
              <w:t>2,309,973.79 €</w:t>
            </w:r>
          </w:p>
        </w:tc>
        <w:tc>
          <w:tcPr>
            <w:tcW w:w="2160" w:type="dxa"/>
          </w:tcPr>
          <w:p w14:paraId="1DAB7A90" w14:textId="77777777" w:rsidR="00880479" w:rsidRDefault="00621499">
            <w:r>
              <w:t>1,020,935.27 €</w:t>
            </w:r>
          </w:p>
        </w:tc>
        <w:tc>
          <w:tcPr>
            <w:tcW w:w="2160" w:type="dxa"/>
          </w:tcPr>
          <w:p w14:paraId="56899751" w14:textId="77777777" w:rsidR="00880479" w:rsidRDefault="00621499">
            <w:r>
              <w:t>44.20 %</w:t>
            </w:r>
          </w:p>
        </w:tc>
      </w:tr>
    </w:tbl>
    <w:p w14:paraId="570AC815" w14:textId="77777777" w:rsidR="00880479" w:rsidRDefault="00621499">
      <w:pPr>
        <w:pStyle w:val="Naslov3"/>
      </w:pPr>
      <w:r>
        <w:lastRenderedPageBreak/>
        <w:t>Prihodi po programima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80479" w14:paraId="7BA9D683" w14:textId="77777777">
        <w:tc>
          <w:tcPr>
            <w:tcW w:w="2160" w:type="dxa"/>
          </w:tcPr>
          <w:p w14:paraId="53AAB5DA" w14:textId="77777777" w:rsidR="00880479" w:rsidRDefault="00621499">
            <w:r>
              <w:t>Konto / Izvor</w:t>
            </w:r>
          </w:p>
        </w:tc>
        <w:tc>
          <w:tcPr>
            <w:tcW w:w="2160" w:type="dxa"/>
          </w:tcPr>
          <w:p w14:paraId="570F5F6F" w14:textId="77777777" w:rsidR="00880479" w:rsidRDefault="00621499">
            <w:r>
              <w:t>Plan 2025.</w:t>
            </w:r>
          </w:p>
        </w:tc>
        <w:tc>
          <w:tcPr>
            <w:tcW w:w="2160" w:type="dxa"/>
          </w:tcPr>
          <w:p w14:paraId="03CD0D1B" w14:textId="77777777" w:rsidR="00880479" w:rsidRDefault="00621499">
            <w:r>
              <w:t>Izvršenje 2025.</w:t>
            </w:r>
          </w:p>
        </w:tc>
        <w:tc>
          <w:tcPr>
            <w:tcW w:w="2160" w:type="dxa"/>
          </w:tcPr>
          <w:p w14:paraId="6C7C67DF" w14:textId="77777777" w:rsidR="00880479" w:rsidRDefault="00621499">
            <w:r>
              <w:t>Ostvarenje (%)</w:t>
            </w:r>
          </w:p>
        </w:tc>
      </w:tr>
      <w:tr w:rsidR="00880479" w14:paraId="4ED59CDC" w14:textId="77777777">
        <w:tc>
          <w:tcPr>
            <w:tcW w:w="2160" w:type="dxa"/>
          </w:tcPr>
          <w:p w14:paraId="3D974D36" w14:textId="77777777" w:rsidR="00880479" w:rsidRDefault="00621499">
            <w:r>
              <w:t>6711 – Prihodi za financiranje redovne djelatnosti</w:t>
            </w:r>
          </w:p>
        </w:tc>
        <w:tc>
          <w:tcPr>
            <w:tcW w:w="2160" w:type="dxa"/>
          </w:tcPr>
          <w:p w14:paraId="7079E090" w14:textId="77777777" w:rsidR="00880479" w:rsidRDefault="00621499">
            <w:r>
              <w:t>136,040.90 €</w:t>
            </w:r>
          </w:p>
        </w:tc>
        <w:tc>
          <w:tcPr>
            <w:tcW w:w="2160" w:type="dxa"/>
          </w:tcPr>
          <w:p w14:paraId="0EA8ED40" w14:textId="77777777" w:rsidR="00880479" w:rsidRDefault="00621499">
            <w:r>
              <w:t>83,978.76 €</w:t>
            </w:r>
          </w:p>
        </w:tc>
        <w:tc>
          <w:tcPr>
            <w:tcW w:w="2160" w:type="dxa"/>
          </w:tcPr>
          <w:p w14:paraId="01A26A53" w14:textId="77777777" w:rsidR="00880479" w:rsidRDefault="00621499">
            <w:r>
              <w:t>61.73 %</w:t>
            </w:r>
          </w:p>
        </w:tc>
      </w:tr>
      <w:tr w:rsidR="00880479" w14:paraId="035C4BEB" w14:textId="77777777">
        <w:tc>
          <w:tcPr>
            <w:tcW w:w="2160" w:type="dxa"/>
          </w:tcPr>
          <w:p w14:paraId="73EF924A" w14:textId="77777777" w:rsidR="00880479" w:rsidRDefault="00621499">
            <w:r>
              <w:t>Ukupno prihodi</w:t>
            </w:r>
          </w:p>
        </w:tc>
        <w:tc>
          <w:tcPr>
            <w:tcW w:w="2160" w:type="dxa"/>
          </w:tcPr>
          <w:p w14:paraId="48CC1B8A" w14:textId="77777777" w:rsidR="00880479" w:rsidRDefault="00621499">
            <w:r>
              <w:t>2,318,653.73 €</w:t>
            </w:r>
          </w:p>
        </w:tc>
        <w:tc>
          <w:tcPr>
            <w:tcW w:w="2160" w:type="dxa"/>
          </w:tcPr>
          <w:p w14:paraId="5949644F" w14:textId="77777777" w:rsidR="00880479" w:rsidRDefault="00621499">
            <w:r>
              <w:t>825,536.48 €</w:t>
            </w:r>
          </w:p>
        </w:tc>
        <w:tc>
          <w:tcPr>
            <w:tcW w:w="2160" w:type="dxa"/>
          </w:tcPr>
          <w:p w14:paraId="6F9A091B" w14:textId="77777777" w:rsidR="00880479" w:rsidRDefault="00621499">
            <w:r>
              <w:t>35.60 %</w:t>
            </w:r>
          </w:p>
        </w:tc>
      </w:tr>
    </w:tbl>
    <w:p w14:paraId="06D93AA2" w14:textId="77777777" w:rsidR="00880479" w:rsidRDefault="00621499">
      <w:r>
        <w:br/>
        <w:t xml:space="preserve">Iz detaljnog prikaza po programima jasno je da se najveći dio rashoda odnosi na program </w:t>
      </w:r>
      <w:r>
        <w:t>redovnog srednjeg školstva, što je i očekivano s obzirom na osnovnu djelatnost ustanove. Izvršenje u tom programu iznosi oko 57,6 %, dok ukupni rashodi po svim programima dostižu oko 44 % plana. Kod prihoda je također evidentno da svi dolaze iz nadležnog p</w:t>
      </w:r>
      <w:r>
        <w:t>roračuna, s najviše sredstava iz konta 6711. Međutim, ukupni prihodi po programima ostvareni su tek 35,6 %, što još jednom potvrđuje potrebu za pojačanim praćenjem priljeva u drugom polugodištu.</w:t>
      </w:r>
    </w:p>
    <w:sectPr w:rsidR="008804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1499"/>
    <w:rsid w:val="008804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23A83"/>
  <w14:defaultImageDpi w14:val="300"/>
  <w15:docId w15:val="{394DA885-D0D7-4988-86DC-001770B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Racunovodstvo</cp:lastModifiedBy>
  <cp:revision>2</cp:revision>
  <cp:lastPrinted>2025-07-29T09:11:00Z</cp:lastPrinted>
  <dcterms:created xsi:type="dcterms:W3CDTF">2025-07-29T09:12:00Z</dcterms:created>
  <dcterms:modified xsi:type="dcterms:W3CDTF">2025-07-29T09:12:00Z</dcterms:modified>
  <cp:category/>
</cp:coreProperties>
</file>